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jc w:val="center"/>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9000"/>
      </w:tblGrid>
      <w:tr w:rsidR="00B4062C" w:rsidTr="00B4062C">
        <w:trPr>
          <w:tblCellSpacing w:w="0" w:type="dxa"/>
          <w:jc w:val="center"/>
        </w:trPr>
        <w:tc>
          <w:tcPr>
            <w:tcW w:w="0" w:type="auto"/>
            <w:tcBorders>
              <w:top w:val="nil"/>
              <w:left w:val="nil"/>
              <w:bottom w:val="single" w:sz="8" w:space="0" w:color="000000"/>
              <w:right w:val="nil"/>
            </w:tcBorders>
            <w:shd w:val="clear" w:color="auto" w:fill="FFFFFF"/>
            <w:vAlign w:val="center"/>
          </w:tcPr>
          <w:p w:rsidR="00B4062C" w:rsidRDefault="00B4062C"/>
          <w:tbl>
            <w:tblPr>
              <w:tblW w:w="0" w:type="auto"/>
              <w:jc w:val="center"/>
              <w:tblCellSpacing w:w="15" w:type="dxa"/>
              <w:tblCellMar>
                <w:left w:w="0" w:type="dxa"/>
                <w:right w:w="0" w:type="dxa"/>
              </w:tblCellMar>
              <w:tblLook w:val="04A0" w:firstRow="1" w:lastRow="0" w:firstColumn="1" w:lastColumn="0" w:noHBand="0" w:noVBand="1"/>
            </w:tblPr>
            <w:tblGrid>
              <w:gridCol w:w="4685"/>
            </w:tblGrid>
            <w:tr w:rsidR="00B4062C">
              <w:trPr>
                <w:tblCellSpacing w:w="15" w:type="dxa"/>
                <w:jc w:val="center"/>
              </w:trPr>
              <w:tc>
                <w:tcPr>
                  <w:tcW w:w="0" w:type="auto"/>
                  <w:tcMar>
                    <w:top w:w="15" w:type="dxa"/>
                    <w:left w:w="15" w:type="dxa"/>
                    <w:bottom w:w="15" w:type="dxa"/>
                    <w:right w:w="15" w:type="dxa"/>
                  </w:tcMar>
                  <w:vAlign w:val="center"/>
                  <w:hideMark/>
                </w:tcPr>
                <w:p w:rsidR="00B4062C" w:rsidRDefault="00B4062C">
                  <w:pPr>
                    <w:rPr>
                      <w:sz w:val="24"/>
                      <w:szCs w:val="24"/>
                    </w:rPr>
                  </w:pPr>
                  <w:r>
                    <w:rPr>
                      <w:noProof/>
                    </w:rPr>
                    <w:drawing>
                      <wp:inline distT="0" distB="0" distL="0" distR="0">
                        <wp:extent cx="2917825" cy="1304290"/>
                        <wp:effectExtent l="0" t="0" r="0" b="0"/>
                        <wp:docPr id="1" name="Picture 1" descr="http://www.dia.govt.nz/diawebsite.nsf/Files/Charities_Services_DIA_Logo/$file/Charities_Services_DI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20_1" descr="http://www.dia.govt.nz/diawebsite.nsf/Files/Charities_Services_DIA_Logo/$file/Charities_Services_DIA_Logo.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917825" cy="1304290"/>
                                </a:xfrm>
                                <a:prstGeom prst="rect">
                                  <a:avLst/>
                                </a:prstGeom>
                                <a:noFill/>
                                <a:ln>
                                  <a:noFill/>
                                </a:ln>
                              </pic:spPr>
                            </pic:pic>
                          </a:graphicData>
                        </a:graphic>
                      </wp:inline>
                    </w:drawing>
                  </w:r>
                </w:p>
              </w:tc>
            </w:tr>
          </w:tbl>
          <w:p w:rsidR="00B4062C" w:rsidRDefault="00B4062C">
            <w:pPr>
              <w:jc w:val="center"/>
              <w:rPr>
                <w:rFonts w:ascii="Times New Roman" w:hAnsi="Times New Roman" w:cs="Times New Roman"/>
                <w:color w:val="auto"/>
                <w:sz w:val="24"/>
                <w:szCs w:val="24"/>
              </w:rPr>
            </w:pPr>
          </w:p>
        </w:tc>
      </w:tr>
      <w:tr w:rsidR="00B4062C" w:rsidTr="00B4062C">
        <w:trPr>
          <w:tblCellSpacing w:w="0" w:type="dxa"/>
          <w:jc w:val="center"/>
        </w:trPr>
        <w:tc>
          <w:tcPr>
            <w:tcW w:w="0" w:type="auto"/>
            <w:tcBorders>
              <w:top w:val="nil"/>
              <w:left w:val="nil"/>
              <w:bottom w:val="nil"/>
              <w:right w:val="nil"/>
            </w:tcBorders>
            <w:vAlign w:val="center"/>
            <w:hideMark/>
          </w:tcPr>
          <w:tbl>
            <w:tblPr>
              <w:tblW w:w="7650" w:type="dxa"/>
              <w:jc w:val="center"/>
              <w:tblCellSpacing w:w="0" w:type="dxa"/>
              <w:tblCellMar>
                <w:left w:w="0" w:type="dxa"/>
                <w:right w:w="0" w:type="dxa"/>
              </w:tblCellMar>
              <w:tblLook w:val="04A0" w:firstRow="1" w:lastRow="0" w:firstColumn="1" w:lastColumn="0" w:noHBand="0" w:noVBand="1"/>
            </w:tblPr>
            <w:tblGrid>
              <w:gridCol w:w="7650"/>
            </w:tblGrid>
            <w:tr w:rsidR="00B4062C">
              <w:trPr>
                <w:tblCellSpacing w:w="0" w:type="dxa"/>
                <w:jc w:val="center"/>
              </w:trPr>
              <w:tc>
                <w:tcPr>
                  <w:tcW w:w="0" w:type="auto"/>
                  <w:vAlign w:val="center"/>
                  <w:hideMark/>
                </w:tcPr>
                <w:p w:rsidR="00B4062C" w:rsidRDefault="00B4062C">
                  <w:pPr>
                    <w:pStyle w:val="NormalWeb"/>
                    <w:rPr>
                      <w:rFonts w:ascii="Arial" w:hAnsi="Arial" w:cs="Arial"/>
                      <w:color w:val="006699"/>
                      <w:sz w:val="30"/>
                      <w:szCs w:val="30"/>
                    </w:rPr>
                  </w:pPr>
                  <w:r>
                    <w:rPr>
                      <w:rFonts w:ascii="Arial" w:hAnsi="Arial" w:cs="Arial"/>
                      <w:color w:val="006699"/>
                      <w:sz w:val="30"/>
                      <w:szCs w:val="30"/>
                    </w:rPr>
                    <w:br/>
                    <w:t>Important information for registered charities</w:t>
                  </w:r>
                </w:p>
                <w:p w:rsidR="00B4062C" w:rsidRDefault="00B4062C">
                  <w:pPr>
                    <w:pStyle w:val="NormalWeb"/>
                    <w:rPr>
                      <w:rFonts w:ascii="Arial" w:hAnsi="Arial" w:cs="Arial"/>
                      <w:color w:val="000000"/>
                    </w:rPr>
                  </w:pPr>
                  <w:r>
                    <w:rPr>
                      <w:rFonts w:ascii="Arial" w:hAnsi="Arial" w:cs="Arial"/>
                      <w:color w:val="000000"/>
                    </w:rPr>
                    <w:t>Charities to become more transparent</w:t>
                  </w:r>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Hon Craig Foss, Minister of Commerce, and Hon Jo </w:t>
                  </w:r>
                  <w:proofErr w:type="spellStart"/>
                  <w:r>
                    <w:rPr>
                      <w:rFonts w:ascii="Arial" w:hAnsi="Arial" w:cs="Arial"/>
                      <w:color w:val="000000"/>
                      <w:sz w:val="16"/>
                      <w:szCs w:val="16"/>
                    </w:rPr>
                    <w:t>Goodhew</w:t>
                  </w:r>
                  <w:proofErr w:type="spellEnd"/>
                  <w:r>
                    <w:rPr>
                      <w:rFonts w:ascii="Arial" w:hAnsi="Arial" w:cs="Arial"/>
                      <w:color w:val="000000"/>
                      <w:sz w:val="16"/>
                      <w:szCs w:val="16"/>
                    </w:rPr>
                    <w:t xml:space="preserve">, Minister for the Community and Voluntary Sector, have today issued a news release outlining some changes to registered charities' financial reporting. All registered charities must file an Annual Return with </w:t>
                  </w:r>
                  <w:hyperlink r:id="rId8" w:history="1">
                    <w:r>
                      <w:rPr>
                        <w:rStyle w:val="Hyperlink"/>
                        <w:rFonts w:ascii="Arial" w:hAnsi="Arial" w:cs="Arial"/>
                        <w:sz w:val="16"/>
                        <w:szCs w:val="16"/>
                      </w:rPr>
                      <w:t>Charities Services</w:t>
                    </w:r>
                  </w:hyperlink>
                  <w:r>
                    <w:rPr>
                      <w:rFonts w:ascii="Arial" w:hAnsi="Arial" w:cs="Arial"/>
                      <w:color w:val="000000"/>
                      <w:sz w:val="16"/>
                      <w:szCs w:val="16"/>
                    </w:rPr>
                    <w:t>, and attach a copy of their financial statements. This won't change.</w:t>
                  </w:r>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However, there will be changes that mean charities with large expenditures will have to have their financial statements reviewed or audited. Charities with lower levels of expenditure can - if they choose - decide to have their financial statements reviewed or audited, or do neither, and submit </w:t>
                  </w:r>
                  <w:proofErr w:type="spellStart"/>
                  <w:r>
                    <w:rPr>
                      <w:rFonts w:ascii="Arial" w:hAnsi="Arial" w:cs="Arial"/>
                      <w:color w:val="000000"/>
                      <w:sz w:val="16"/>
                      <w:szCs w:val="16"/>
                    </w:rPr>
                    <w:t>unreviewed</w:t>
                  </w:r>
                  <w:proofErr w:type="spellEnd"/>
                  <w:r>
                    <w:rPr>
                      <w:rFonts w:ascii="Arial" w:hAnsi="Arial" w:cs="Arial"/>
                      <w:color w:val="000000"/>
                      <w:sz w:val="16"/>
                      <w:szCs w:val="16"/>
                    </w:rPr>
                    <w:t>, unaudited accounts. From 2016, Charities Services will monitor the financial information lodged by charities with their Annual Returns.</w:t>
                  </w:r>
                </w:p>
                <w:p w:rsidR="00B4062C" w:rsidRDefault="00B4062C">
                  <w:pPr>
                    <w:pStyle w:val="NormalWeb"/>
                    <w:rPr>
                      <w:rFonts w:ascii="Arial" w:hAnsi="Arial" w:cs="Arial"/>
                      <w:color w:val="000000"/>
                      <w:sz w:val="16"/>
                      <w:szCs w:val="16"/>
                    </w:rPr>
                  </w:pPr>
                  <w:r>
                    <w:rPr>
                      <w:rFonts w:ascii="Arial" w:hAnsi="Arial" w:cs="Arial"/>
                      <w:color w:val="000000"/>
                      <w:sz w:val="16"/>
                      <w:szCs w:val="16"/>
                    </w:rPr>
                    <w:t>Financial statements submitted with charities' Annual Returns are published on the Charities Register, and are available for the public to view.</w:t>
                  </w:r>
                </w:p>
                <w:p w:rsidR="00B4062C" w:rsidRDefault="00B4062C">
                  <w:pPr>
                    <w:pStyle w:val="NormalWeb"/>
                    <w:rPr>
                      <w:rFonts w:ascii="Arial" w:hAnsi="Arial" w:cs="Arial"/>
                      <w:color w:val="000000"/>
                    </w:rPr>
                  </w:pPr>
                  <w:r>
                    <w:rPr>
                      <w:rFonts w:ascii="Arial" w:hAnsi="Arial" w:cs="Arial"/>
                      <w:color w:val="000000"/>
                    </w:rPr>
                    <w:t>What will change?</w:t>
                  </w:r>
                </w:p>
                <w:p w:rsidR="00B4062C" w:rsidRDefault="00B4062C">
                  <w:pPr>
                    <w:pStyle w:val="NormalWeb"/>
                    <w:rPr>
                      <w:rFonts w:ascii="Arial" w:hAnsi="Arial" w:cs="Arial"/>
                      <w:color w:val="000000"/>
                      <w:sz w:val="16"/>
                      <w:szCs w:val="16"/>
                    </w:rPr>
                  </w:pPr>
                  <w:r>
                    <w:rPr>
                      <w:rFonts w:ascii="Arial" w:hAnsi="Arial" w:cs="Arial"/>
                      <w:b/>
                      <w:bCs/>
                      <w:color w:val="000000"/>
                      <w:sz w:val="16"/>
                      <w:szCs w:val="16"/>
                    </w:rPr>
                    <w:t>For charities that are not already required by their rules document to get their financial statements audited or reviewed:</w:t>
                  </w:r>
                </w:p>
                <w:p w:rsidR="00B4062C" w:rsidRDefault="00B4062C">
                  <w:pPr>
                    <w:pStyle w:val="NormalWeb"/>
                    <w:rPr>
                      <w:rFonts w:ascii="Arial" w:hAnsi="Arial" w:cs="Arial"/>
                      <w:color w:val="000000"/>
                      <w:sz w:val="16"/>
                      <w:szCs w:val="16"/>
                    </w:rPr>
                  </w:pPr>
                  <w:r>
                    <w:rPr>
                      <w:rFonts w:ascii="Arial" w:hAnsi="Arial" w:cs="Arial"/>
                      <w:color w:val="000000"/>
                      <w:sz w:val="16"/>
                      <w:szCs w:val="16"/>
                    </w:rPr>
                    <w:t>Charities with annual expenditure</w:t>
                  </w:r>
                </w:p>
                <w:p w:rsidR="00B4062C" w:rsidRDefault="00B4062C" w:rsidP="00391507">
                  <w:pPr>
                    <w:numPr>
                      <w:ilvl w:val="0"/>
                      <w:numId w:val="1"/>
                    </w:numPr>
                    <w:spacing w:before="100" w:beforeAutospacing="1" w:after="100" w:afterAutospacing="1"/>
                    <w:rPr>
                      <w:rFonts w:eastAsia="Times New Roman"/>
                      <w:sz w:val="16"/>
                      <w:szCs w:val="16"/>
                    </w:rPr>
                  </w:pPr>
                  <w:r>
                    <w:rPr>
                      <w:rFonts w:eastAsia="Times New Roman"/>
                      <w:sz w:val="16"/>
                      <w:szCs w:val="16"/>
                    </w:rPr>
                    <w:t xml:space="preserve">of $1 million or more - financial statements must be audited by a qualified accountant </w:t>
                  </w:r>
                </w:p>
                <w:p w:rsidR="00B4062C" w:rsidRDefault="00B4062C" w:rsidP="00391507">
                  <w:pPr>
                    <w:numPr>
                      <w:ilvl w:val="0"/>
                      <w:numId w:val="1"/>
                    </w:numPr>
                    <w:spacing w:before="100" w:beforeAutospacing="1" w:after="100" w:afterAutospacing="1"/>
                    <w:rPr>
                      <w:rFonts w:eastAsia="Times New Roman"/>
                      <w:sz w:val="16"/>
                      <w:szCs w:val="16"/>
                    </w:rPr>
                  </w:pPr>
                  <w:r>
                    <w:rPr>
                      <w:rFonts w:eastAsia="Times New Roman"/>
                      <w:sz w:val="16"/>
                      <w:szCs w:val="16"/>
                    </w:rPr>
                    <w:t xml:space="preserve">between $500,000 and $1 million - financial statements must be reviewed by a qualified accountant </w:t>
                  </w:r>
                </w:p>
                <w:p w:rsidR="00B4062C" w:rsidRDefault="00B4062C" w:rsidP="00391507">
                  <w:pPr>
                    <w:numPr>
                      <w:ilvl w:val="0"/>
                      <w:numId w:val="1"/>
                    </w:numPr>
                    <w:spacing w:before="100" w:beforeAutospacing="1" w:after="100" w:afterAutospacing="1"/>
                    <w:rPr>
                      <w:rFonts w:eastAsia="Times New Roman"/>
                      <w:sz w:val="16"/>
                      <w:szCs w:val="16"/>
                    </w:rPr>
                  </w:pPr>
                  <w:r>
                    <w:rPr>
                      <w:rFonts w:eastAsia="Times New Roman"/>
                      <w:sz w:val="16"/>
                      <w:szCs w:val="16"/>
                    </w:rPr>
                    <w:t xml:space="preserve">less than $500,000 - can choose to have their financial statements reviewed or audited, or do neither </w:t>
                  </w:r>
                </w:p>
                <w:p w:rsidR="00B4062C" w:rsidRDefault="00B4062C">
                  <w:pPr>
                    <w:pStyle w:val="NormalWeb"/>
                    <w:rPr>
                      <w:rFonts w:ascii="Arial" w:hAnsi="Arial" w:cs="Arial"/>
                      <w:color w:val="000000"/>
                    </w:rPr>
                  </w:pPr>
                  <w:r>
                    <w:rPr>
                      <w:rFonts w:ascii="Arial" w:hAnsi="Arial" w:cs="Arial"/>
                      <w:color w:val="000000"/>
                    </w:rPr>
                    <w:t>When will the changes take effect?</w:t>
                  </w:r>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It is expected the changes will take effect for charities’ financial years starting on or after 1 April 2015, but charities </w:t>
                  </w:r>
                  <w:proofErr w:type="gramStart"/>
                  <w:r>
                    <w:rPr>
                      <w:rFonts w:ascii="Arial" w:hAnsi="Arial" w:cs="Arial"/>
                      <w:color w:val="000000"/>
                      <w:sz w:val="16"/>
                      <w:szCs w:val="16"/>
                    </w:rPr>
                    <w:t>who</w:t>
                  </w:r>
                  <w:proofErr w:type="gramEnd"/>
                  <w:r>
                    <w:rPr>
                      <w:rFonts w:ascii="Arial" w:hAnsi="Arial" w:cs="Arial"/>
                      <w:color w:val="000000"/>
                      <w:sz w:val="16"/>
                      <w:szCs w:val="16"/>
                    </w:rPr>
                    <w:t xml:space="preserve"> don’t currently have a requirement to get their accounts audited or reviewed can opt to have their accounts audited or reviewed if they wish.</w:t>
                  </w:r>
                </w:p>
                <w:p w:rsidR="00B4062C" w:rsidRDefault="00B4062C">
                  <w:pPr>
                    <w:pStyle w:val="NormalWeb"/>
                    <w:rPr>
                      <w:rFonts w:ascii="Arial" w:hAnsi="Arial" w:cs="Arial"/>
                      <w:color w:val="000000"/>
                    </w:rPr>
                  </w:pPr>
                  <w:r>
                    <w:rPr>
                      <w:rFonts w:ascii="Arial" w:hAnsi="Arial" w:cs="Arial"/>
                      <w:color w:val="000000"/>
                    </w:rPr>
                    <w:t>What is an audit, and what is a review?</w:t>
                  </w:r>
                </w:p>
                <w:p w:rsidR="00B4062C" w:rsidRDefault="00B4062C">
                  <w:pPr>
                    <w:pStyle w:val="NormalWeb"/>
                    <w:rPr>
                      <w:rFonts w:ascii="Arial" w:hAnsi="Arial" w:cs="Arial"/>
                      <w:color w:val="000000"/>
                      <w:sz w:val="16"/>
                      <w:szCs w:val="16"/>
                    </w:rPr>
                  </w:pPr>
                  <w:hyperlink r:id="rId9" w:history="1">
                    <w:r>
                      <w:rPr>
                        <w:rStyle w:val="Hyperlink"/>
                        <w:rFonts w:ascii="Arial" w:hAnsi="Arial" w:cs="Arial"/>
                        <w:sz w:val="16"/>
                        <w:szCs w:val="16"/>
                      </w:rPr>
                      <w:t>The External Reporting Board (XRB)</w:t>
                    </w:r>
                  </w:hyperlink>
                  <w:r>
                    <w:rPr>
                      <w:rFonts w:ascii="Arial" w:hAnsi="Arial" w:cs="Arial"/>
                      <w:color w:val="000000"/>
                      <w:sz w:val="16"/>
                      <w:szCs w:val="16"/>
                    </w:rPr>
                    <w:t xml:space="preserve">, the body that sets accounting standards for New Zealand entities, has issued a set of </w:t>
                  </w:r>
                  <w:hyperlink r:id="rId10" w:history="1">
                    <w:r>
                      <w:rPr>
                        <w:rStyle w:val="Hyperlink"/>
                        <w:rFonts w:ascii="Arial" w:hAnsi="Arial" w:cs="Arial"/>
                        <w:sz w:val="16"/>
                        <w:szCs w:val="16"/>
                      </w:rPr>
                      <w:t>auditing standards</w:t>
                    </w:r>
                  </w:hyperlink>
                  <w:r>
                    <w:rPr>
                      <w:rFonts w:ascii="Arial" w:hAnsi="Arial" w:cs="Arial"/>
                      <w:color w:val="000000"/>
                      <w:sz w:val="16"/>
                      <w:szCs w:val="16"/>
                    </w:rPr>
                    <w:t xml:space="preserve"> and a set of </w:t>
                  </w:r>
                  <w:hyperlink r:id="rId11" w:history="1">
                    <w:r>
                      <w:rPr>
                        <w:rStyle w:val="Hyperlink"/>
                        <w:rFonts w:ascii="Arial" w:hAnsi="Arial" w:cs="Arial"/>
                        <w:sz w:val="16"/>
                        <w:szCs w:val="16"/>
                      </w:rPr>
                      <w:t>review standards</w:t>
                    </w:r>
                  </w:hyperlink>
                  <w:r>
                    <w:rPr>
                      <w:rFonts w:ascii="Arial" w:hAnsi="Arial" w:cs="Arial"/>
                      <w:color w:val="000000"/>
                      <w:sz w:val="16"/>
                      <w:szCs w:val="16"/>
                    </w:rPr>
                    <w:t xml:space="preserve">. The XRB has published a </w:t>
                  </w:r>
                  <w:hyperlink r:id="rId12" w:history="1">
                    <w:r>
                      <w:rPr>
                        <w:rStyle w:val="Hyperlink"/>
                        <w:rFonts w:ascii="Arial" w:hAnsi="Arial" w:cs="Arial"/>
                        <w:sz w:val="16"/>
                        <w:szCs w:val="16"/>
                      </w:rPr>
                      <w:t>Glossary</w:t>
                    </w:r>
                  </w:hyperlink>
                  <w:r>
                    <w:rPr>
                      <w:rFonts w:ascii="Arial" w:hAnsi="Arial" w:cs="Arial"/>
                      <w:color w:val="000000"/>
                      <w:sz w:val="16"/>
                      <w:szCs w:val="16"/>
                    </w:rPr>
                    <w:t xml:space="preserve"> which explains some of the associated terms. An "audit" and a "review" both examine financial statements to be sure they present a fair and accurate representation of the organisation's income and expenditure, and provide transparency. Both are governed by sets of standards, and both should enable donors and supporters of charities to feel assurance that the charity is reporting appropriately on how it is using its money.</w:t>
                  </w:r>
                </w:p>
                <w:p w:rsidR="00B4062C" w:rsidRDefault="00B4062C">
                  <w:pPr>
                    <w:pStyle w:val="NormalWeb"/>
                    <w:rPr>
                      <w:rFonts w:ascii="Arial" w:hAnsi="Arial" w:cs="Arial"/>
                      <w:color w:val="000000"/>
                    </w:rPr>
                  </w:pPr>
                </w:p>
                <w:p w:rsidR="00B4062C" w:rsidRDefault="00B4062C">
                  <w:pPr>
                    <w:pStyle w:val="NormalWeb"/>
                    <w:rPr>
                      <w:rFonts w:ascii="Arial" w:hAnsi="Arial" w:cs="Arial"/>
                      <w:color w:val="000000"/>
                    </w:rPr>
                  </w:pPr>
                  <w:r>
                    <w:rPr>
                      <w:rFonts w:ascii="Arial" w:hAnsi="Arial" w:cs="Arial"/>
                      <w:color w:val="000000"/>
                    </w:rPr>
                    <w:lastRenderedPageBreak/>
                    <w:t>Need more information?</w:t>
                  </w:r>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Charities Services will provide more information for charities as this change progresses. In the meantime, you might like to read the information published on the website of </w:t>
                  </w:r>
                  <w:hyperlink r:id="rId13" w:history="1">
                    <w:r>
                      <w:rPr>
                        <w:rStyle w:val="Hyperlink"/>
                        <w:rFonts w:ascii="Arial" w:hAnsi="Arial" w:cs="Arial"/>
                        <w:sz w:val="16"/>
                        <w:szCs w:val="16"/>
                      </w:rPr>
                      <w:t>the Ministry of Business, Innovation and Employment</w:t>
                    </w:r>
                  </w:hyperlink>
                  <w:r>
                    <w:rPr>
                      <w:rFonts w:ascii="Arial" w:hAnsi="Arial" w:cs="Arial"/>
                      <w:color w:val="000000"/>
                      <w:sz w:val="16"/>
                      <w:szCs w:val="16"/>
                    </w:rPr>
                    <w:t xml:space="preserve"> and, in particular, the </w:t>
                  </w:r>
                  <w:hyperlink r:id="rId14" w:history="1">
                    <w:r>
                      <w:rPr>
                        <w:rStyle w:val="Hyperlink"/>
                        <w:rFonts w:ascii="Arial" w:hAnsi="Arial" w:cs="Arial"/>
                        <w:sz w:val="16"/>
                        <w:szCs w:val="16"/>
                      </w:rPr>
                      <w:t>Cabinet paper</w:t>
                    </w:r>
                  </w:hyperlink>
                  <w:r>
                    <w:rPr>
                      <w:rFonts w:ascii="Arial" w:hAnsi="Arial" w:cs="Arial"/>
                      <w:color w:val="000000"/>
                      <w:sz w:val="16"/>
                      <w:szCs w:val="16"/>
                    </w:rPr>
                    <w:t xml:space="preserve"> outlining the reasons for the change.</w:t>
                  </w:r>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You can read the </w:t>
                  </w:r>
                  <w:hyperlink r:id="rId15" w:history="1">
                    <w:r>
                      <w:rPr>
                        <w:rStyle w:val="Hyperlink"/>
                        <w:rFonts w:ascii="Arial" w:hAnsi="Arial" w:cs="Arial"/>
                        <w:sz w:val="16"/>
                        <w:szCs w:val="16"/>
                      </w:rPr>
                      <w:t xml:space="preserve">media release from Hon Craig Foss, Minister of Commerce, and Hon Jo </w:t>
                    </w:r>
                    <w:proofErr w:type="spellStart"/>
                    <w:r>
                      <w:rPr>
                        <w:rStyle w:val="Hyperlink"/>
                        <w:rFonts w:ascii="Arial" w:hAnsi="Arial" w:cs="Arial"/>
                        <w:sz w:val="16"/>
                        <w:szCs w:val="16"/>
                      </w:rPr>
                      <w:t>Goodhew</w:t>
                    </w:r>
                    <w:proofErr w:type="spellEnd"/>
                    <w:r>
                      <w:rPr>
                        <w:rStyle w:val="Hyperlink"/>
                        <w:rFonts w:ascii="Arial" w:hAnsi="Arial" w:cs="Arial"/>
                        <w:sz w:val="16"/>
                        <w:szCs w:val="16"/>
                      </w:rPr>
                      <w:t>, Minister for Community and Voluntary Sector</w:t>
                    </w:r>
                  </w:hyperlink>
                </w:p>
                <w:p w:rsidR="00B4062C" w:rsidRDefault="00B4062C">
                  <w:pPr>
                    <w:pStyle w:val="NormalWeb"/>
                    <w:rPr>
                      <w:rFonts w:ascii="Arial" w:hAnsi="Arial" w:cs="Arial"/>
                      <w:color w:val="000000"/>
                      <w:sz w:val="16"/>
                      <w:szCs w:val="16"/>
                    </w:rPr>
                  </w:pPr>
                  <w:r>
                    <w:rPr>
                      <w:rFonts w:ascii="Arial" w:hAnsi="Arial" w:cs="Arial"/>
                      <w:color w:val="000000"/>
                      <w:sz w:val="16"/>
                      <w:szCs w:val="16"/>
                    </w:rPr>
                    <w:t xml:space="preserve">If you have any further questions, please browse </w:t>
                  </w:r>
                  <w:hyperlink r:id="rId16" w:history="1">
                    <w:r>
                      <w:rPr>
                        <w:rStyle w:val="Hyperlink"/>
                        <w:rFonts w:ascii="Arial" w:hAnsi="Arial" w:cs="Arial"/>
                        <w:sz w:val="16"/>
                        <w:szCs w:val="16"/>
                      </w:rPr>
                      <w:t>www.xrb.govt.nz</w:t>
                    </w:r>
                  </w:hyperlink>
                  <w:r>
                    <w:rPr>
                      <w:rFonts w:ascii="Arial" w:hAnsi="Arial" w:cs="Arial"/>
                      <w:color w:val="000000"/>
                      <w:sz w:val="16"/>
                      <w:szCs w:val="16"/>
                    </w:rPr>
                    <w:t xml:space="preserve">, </w:t>
                  </w:r>
                  <w:hyperlink r:id="rId17" w:history="1">
                    <w:r>
                      <w:rPr>
                        <w:rStyle w:val="Hyperlink"/>
                        <w:rFonts w:ascii="Arial" w:hAnsi="Arial" w:cs="Arial"/>
                        <w:sz w:val="16"/>
                        <w:szCs w:val="16"/>
                      </w:rPr>
                      <w:t>audit and assurance for registered charities</w:t>
                    </w:r>
                  </w:hyperlink>
                  <w:r>
                    <w:rPr>
                      <w:rFonts w:ascii="Arial" w:hAnsi="Arial" w:cs="Arial"/>
                      <w:color w:val="000000"/>
                      <w:sz w:val="16"/>
                      <w:szCs w:val="16"/>
                    </w:rPr>
                    <w:t xml:space="preserve"> or email </w:t>
                  </w:r>
                  <w:hyperlink r:id="rId18" w:history="1">
                    <w:r>
                      <w:rPr>
                        <w:rStyle w:val="Hyperlink"/>
                        <w:rFonts w:ascii="Arial" w:hAnsi="Arial" w:cs="Arial"/>
                        <w:sz w:val="16"/>
                        <w:szCs w:val="16"/>
                      </w:rPr>
                      <w:t>info@charities.govt.nz</w:t>
                    </w:r>
                  </w:hyperlink>
                </w:p>
              </w:tc>
            </w:tr>
          </w:tbl>
          <w:p w:rsidR="00B4062C" w:rsidRDefault="00B4062C">
            <w:pPr>
              <w:jc w:val="center"/>
              <w:rPr>
                <w:rFonts w:ascii="Times New Roman" w:eastAsia="Times New Roman" w:hAnsi="Times New Roman" w:cs="Times New Roman"/>
                <w:color w:val="auto"/>
              </w:rPr>
            </w:pPr>
          </w:p>
        </w:tc>
      </w:tr>
    </w:tbl>
    <w:p w:rsidR="00485804" w:rsidRDefault="00B4062C">
      <w:bookmarkStart w:id="0" w:name="_GoBack"/>
      <w:bookmarkEnd w:id="0"/>
    </w:p>
    <w:sectPr w:rsidR="004858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73166"/>
    <w:multiLevelType w:val="multilevel"/>
    <w:tmpl w:val="A184F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2C"/>
    <w:rsid w:val="00250037"/>
    <w:rsid w:val="006D1B72"/>
    <w:rsid w:val="00845812"/>
    <w:rsid w:val="00B406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62C"/>
    <w:pPr>
      <w:spacing w:after="0" w:line="240" w:lineRule="auto"/>
    </w:pPr>
    <w:rPr>
      <w:rFonts w:cs="Arial"/>
      <w:color w:val="000000"/>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062C"/>
    <w:rPr>
      <w:color w:val="0000FF"/>
      <w:u w:val="single"/>
    </w:rPr>
  </w:style>
  <w:style w:type="paragraph" w:styleId="NormalWeb">
    <w:name w:val="Normal (Web)"/>
    <w:basedOn w:val="Normal"/>
    <w:uiPriority w:val="99"/>
    <w:unhideWhenUsed/>
    <w:rsid w:val="00B4062C"/>
    <w:pPr>
      <w:spacing w:before="100" w:beforeAutospacing="1" w:after="100" w:afterAutospacing="1"/>
    </w:pPr>
    <w:rPr>
      <w:rFonts w:ascii="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4062C"/>
    <w:rPr>
      <w:rFonts w:ascii="Tahoma" w:hAnsi="Tahoma" w:cs="Tahoma"/>
      <w:sz w:val="16"/>
      <w:szCs w:val="16"/>
    </w:rPr>
  </w:style>
  <w:style w:type="character" w:customStyle="1" w:styleId="BalloonTextChar">
    <w:name w:val="Balloon Text Char"/>
    <w:basedOn w:val="DefaultParagraphFont"/>
    <w:link w:val="BalloonText"/>
    <w:uiPriority w:val="99"/>
    <w:semiHidden/>
    <w:rsid w:val="00B4062C"/>
    <w:rPr>
      <w:rFonts w:ascii="Tahoma" w:hAnsi="Tahoma" w:cs="Tahoma"/>
      <w:color w:val="000000"/>
      <w:sz w:val="16"/>
      <w:szCs w:val="16"/>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62C"/>
    <w:pPr>
      <w:spacing w:after="0" w:line="240" w:lineRule="auto"/>
    </w:pPr>
    <w:rPr>
      <w:rFonts w:cs="Arial"/>
      <w:color w:val="000000"/>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062C"/>
    <w:rPr>
      <w:color w:val="0000FF"/>
      <w:u w:val="single"/>
    </w:rPr>
  </w:style>
  <w:style w:type="paragraph" w:styleId="NormalWeb">
    <w:name w:val="Normal (Web)"/>
    <w:basedOn w:val="Normal"/>
    <w:uiPriority w:val="99"/>
    <w:unhideWhenUsed/>
    <w:rsid w:val="00B4062C"/>
    <w:pPr>
      <w:spacing w:before="100" w:beforeAutospacing="1" w:after="100" w:afterAutospacing="1"/>
    </w:pPr>
    <w:rPr>
      <w:rFonts w:ascii="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4062C"/>
    <w:rPr>
      <w:rFonts w:ascii="Tahoma" w:hAnsi="Tahoma" w:cs="Tahoma"/>
      <w:sz w:val="16"/>
      <w:szCs w:val="16"/>
    </w:rPr>
  </w:style>
  <w:style w:type="character" w:customStyle="1" w:styleId="BalloonTextChar">
    <w:name w:val="Balloon Text Char"/>
    <w:basedOn w:val="DefaultParagraphFont"/>
    <w:link w:val="BalloonText"/>
    <w:uiPriority w:val="99"/>
    <w:semiHidden/>
    <w:rsid w:val="00B4062C"/>
    <w:rPr>
      <w:rFonts w:ascii="Tahoma" w:hAnsi="Tahoma" w:cs="Tahoma"/>
      <w:color w:val="000000"/>
      <w:sz w:val="16"/>
      <w:szCs w:val="16"/>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9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rities.govt.nz/" TargetMode="External"/><Relationship Id="rId13" Type="http://schemas.openxmlformats.org/officeDocument/2006/relationships/hyperlink" Target="http://www.med.govt.nz/business/business-law/financial-reporting-framework-review/audit-and-assurance-for-registered-charities" TargetMode="External"/><Relationship Id="rId18" Type="http://schemas.openxmlformats.org/officeDocument/2006/relationships/hyperlink" Target="mailto:info@charities.govt.nz" TargetMode="External"/><Relationship Id="rId3" Type="http://schemas.microsoft.com/office/2007/relationships/stylesWithEffects" Target="stylesWithEffects.xml"/><Relationship Id="rId7" Type="http://schemas.openxmlformats.org/officeDocument/2006/relationships/image" Target="cid:image001.jpg@01CEAD75.324D2AE0" TargetMode="External"/><Relationship Id="rId12" Type="http://schemas.openxmlformats.org/officeDocument/2006/relationships/hyperlink" Target="http://xrb.govt.nz/includes/download.aspx?ID=126569" TargetMode="External"/><Relationship Id="rId17" Type="http://schemas.openxmlformats.org/officeDocument/2006/relationships/hyperlink" Target="http://www.med.govt.nz/business/business-law/financial-reporting-framework-review/audit-and-assurance-for-registered-charities" TargetMode="External"/><Relationship Id="rId2" Type="http://schemas.openxmlformats.org/officeDocument/2006/relationships/styles" Target="styles.xml"/><Relationship Id="rId16" Type="http://schemas.openxmlformats.org/officeDocument/2006/relationships/hyperlink" Target="http://www.xrb.govt.n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xrb.govt.nz/Site/Auditing_Assurance_Standards/Current_Standards/Review_Standards.aspx" TargetMode="External"/><Relationship Id="rId5" Type="http://schemas.openxmlformats.org/officeDocument/2006/relationships/webSettings" Target="webSettings.xml"/><Relationship Id="rId15" Type="http://schemas.openxmlformats.org/officeDocument/2006/relationships/hyperlink" Target="http://beehive.govt.nz/release/charity-reporting-become-more-transparent" TargetMode="External"/><Relationship Id="rId10" Type="http://schemas.openxmlformats.org/officeDocument/2006/relationships/hyperlink" Target="http://xrb.govt.nz/Site/Auditing_Assurance_Standards/Current_Standards/Auditing_Standards/default.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xrb.govt.nz/" TargetMode="External"/><Relationship Id="rId14" Type="http://schemas.openxmlformats.org/officeDocument/2006/relationships/hyperlink" Target="http://www.med.govt.nz/business/business-law/pdf-docs-library/financial-reporting-framework/assurance-for-registered-charities/financial-statements-assurance-for-large-and-medium-charit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Maritsa Cousins</dc:creator>
  <cp:lastModifiedBy>Maritsa Cousins</cp:lastModifiedBy>
  <cp:revision>1</cp:revision>
  <dcterms:created xsi:type="dcterms:W3CDTF">2013-09-12T02:24:00Z</dcterms:created>
  <dcterms:modified xsi:type="dcterms:W3CDTF">2013-09-12T02:24:00Z</dcterms:modified>
</cp:coreProperties>
</file>